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D6" w:rsidRDefault="00F676D6" w:rsidP="00F676D6">
      <w:pPr>
        <w:rPr>
          <w:sz w:val="32"/>
          <w:szCs w:val="32"/>
        </w:rPr>
      </w:pPr>
      <w:r w:rsidRPr="005B4D92">
        <w:rPr>
          <w:rFonts w:hint="eastAsia"/>
          <w:sz w:val="32"/>
          <w:szCs w:val="32"/>
        </w:rPr>
        <w:t>附件：</w:t>
      </w:r>
    </w:p>
    <w:p w:rsidR="00F676D6" w:rsidRPr="005B4D92" w:rsidRDefault="00F676D6" w:rsidP="00F676D6">
      <w:pPr>
        <w:rPr>
          <w:sz w:val="32"/>
          <w:szCs w:val="32"/>
        </w:rPr>
      </w:pPr>
    </w:p>
    <w:p w:rsidR="00F676D6" w:rsidRDefault="00F676D6" w:rsidP="00F676D6">
      <w:pPr>
        <w:jc w:val="center"/>
        <w:rPr>
          <w:rFonts w:ascii="方正小标宋_GBK" w:eastAsia="方正小标宋_GBK"/>
          <w:bCs/>
          <w:sz w:val="32"/>
          <w:szCs w:val="32"/>
        </w:rPr>
      </w:pPr>
      <w:bookmarkStart w:id="0" w:name="_GoBack"/>
      <w:r w:rsidRPr="00A417C4">
        <w:rPr>
          <w:rFonts w:ascii="方正小标宋_GBK" w:eastAsia="方正小标宋_GBK" w:hint="eastAsia"/>
          <w:bCs/>
          <w:sz w:val="32"/>
          <w:szCs w:val="32"/>
        </w:rPr>
        <w:t>拟推荐上报2021年度重庆市教育委员会</w:t>
      </w:r>
    </w:p>
    <w:p w:rsidR="00F676D6" w:rsidRPr="00A417C4" w:rsidRDefault="00F676D6" w:rsidP="00F676D6">
      <w:pPr>
        <w:jc w:val="center"/>
        <w:rPr>
          <w:rFonts w:ascii="方正小标宋_GBK" w:eastAsia="方正小标宋_GBK"/>
          <w:bCs/>
          <w:sz w:val="32"/>
          <w:szCs w:val="32"/>
        </w:rPr>
      </w:pPr>
      <w:r w:rsidRPr="00A417C4">
        <w:rPr>
          <w:rFonts w:ascii="方正小标宋_GBK" w:eastAsia="方正小标宋_GBK" w:hint="eastAsia"/>
          <w:bCs/>
          <w:sz w:val="32"/>
          <w:szCs w:val="32"/>
        </w:rPr>
        <w:t>高校人文社会科学类研究项目名单</w:t>
      </w:r>
    </w:p>
    <w:bookmarkEnd w:id="0"/>
    <w:p w:rsidR="00F676D6" w:rsidRDefault="00F676D6" w:rsidP="00F676D6">
      <w:pPr>
        <w:jc w:val="center"/>
      </w:pPr>
    </w:p>
    <w:tbl>
      <w:tblPr>
        <w:tblW w:w="558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162"/>
        <w:gridCol w:w="1326"/>
        <w:gridCol w:w="1031"/>
        <w:gridCol w:w="1159"/>
        <w:gridCol w:w="3634"/>
        <w:gridCol w:w="759"/>
      </w:tblGrid>
      <w:tr w:rsidR="00F676D6" w:rsidRPr="00A90679" w:rsidTr="00E71643">
        <w:trPr>
          <w:trHeight w:val="576"/>
        </w:trPr>
        <w:tc>
          <w:tcPr>
            <w:tcW w:w="232" w:type="pct"/>
            <w:shd w:val="clear" w:color="auto" w:fill="auto"/>
            <w:vAlign w:val="center"/>
            <w:hideMark/>
          </w:tcPr>
          <w:p w:rsidR="00F676D6" w:rsidRPr="00A90679" w:rsidRDefault="00F676D6" w:rsidP="00E71643">
            <w:pPr>
              <w:widowControl/>
              <w:spacing w:line="240" w:lineRule="exact"/>
              <w:jc w:val="center"/>
              <w:rPr>
                <w:rFonts w:asciiTheme="minorEastAsia" w:hAnsiTheme="minorEastAsia" w:cs="宋体"/>
                <w:b/>
                <w:bCs/>
                <w:kern w:val="0"/>
                <w:szCs w:val="21"/>
              </w:rPr>
            </w:pPr>
            <w:r w:rsidRPr="00A90679">
              <w:rPr>
                <w:rFonts w:asciiTheme="minorEastAsia" w:hAnsiTheme="minorEastAsia" w:cs="宋体" w:hint="eastAsia"/>
                <w:b/>
                <w:bCs/>
                <w:kern w:val="0"/>
                <w:szCs w:val="21"/>
              </w:rPr>
              <w:t>序号</w:t>
            </w:r>
          </w:p>
        </w:tc>
        <w:tc>
          <w:tcPr>
            <w:tcW w:w="611" w:type="pct"/>
            <w:vAlign w:val="center"/>
          </w:tcPr>
          <w:p w:rsidR="00F676D6" w:rsidRPr="00A90679" w:rsidRDefault="00F676D6" w:rsidP="00E71643">
            <w:pPr>
              <w:widowControl/>
              <w:spacing w:line="240" w:lineRule="exact"/>
              <w:jc w:val="center"/>
              <w:rPr>
                <w:rFonts w:asciiTheme="minorEastAsia" w:hAnsiTheme="minorEastAsia" w:cs="宋体"/>
                <w:b/>
                <w:bCs/>
                <w:kern w:val="0"/>
                <w:szCs w:val="21"/>
              </w:rPr>
            </w:pPr>
            <w:r w:rsidRPr="00A90679">
              <w:rPr>
                <w:rFonts w:asciiTheme="minorEastAsia" w:hAnsiTheme="minorEastAsia" w:cs="宋体" w:hint="eastAsia"/>
                <w:b/>
                <w:bCs/>
                <w:kern w:val="0"/>
                <w:szCs w:val="21"/>
              </w:rPr>
              <w:t>项目</w:t>
            </w:r>
            <w:r w:rsidRPr="00A90679">
              <w:rPr>
                <w:rFonts w:asciiTheme="minorEastAsia" w:hAnsiTheme="minorEastAsia" w:cs="宋体"/>
                <w:b/>
                <w:bCs/>
                <w:kern w:val="0"/>
                <w:szCs w:val="21"/>
              </w:rPr>
              <w:t>类别</w:t>
            </w:r>
          </w:p>
        </w:tc>
        <w:tc>
          <w:tcPr>
            <w:tcW w:w="697" w:type="pct"/>
            <w:shd w:val="clear" w:color="auto" w:fill="auto"/>
            <w:noWrap/>
            <w:vAlign w:val="center"/>
            <w:hideMark/>
          </w:tcPr>
          <w:p w:rsidR="00F676D6" w:rsidRPr="00A90679" w:rsidRDefault="00F676D6" w:rsidP="00E71643">
            <w:pPr>
              <w:widowControl/>
              <w:spacing w:line="240" w:lineRule="exact"/>
              <w:jc w:val="center"/>
              <w:rPr>
                <w:rFonts w:asciiTheme="minorEastAsia" w:hAnsiTheme="minorEastAsia" w:cs="宋体"/>
                <w:b/>
                <w:bCs/>
                <w:kern w:val="0"/>
                <w:szCs w:val="21"/>
              </w:rPr>
            </w:pPr>
            <w:r w:rsidRPr="00A90679">
              <w:rPr>
                <w:rFonts w:asciiTheme="minorEastAsia" w:hAnsiTheme="minorEastAsia" w:cs="宋体" w:hint="eastAsia"/>
                <w:b/>
                <w:bCs/>
                <w:kern w:val="0"/>
                <w:szCs w:val="21"/>
              </w:rPr>
              <w:t>学院</w:t>
            </w:r>
          </w:p>
        </w:tc>
        <w:tc>
          <w:tcPr>
            <w:tcW w:w="542" w:type="pct"/>
            <w:shd w:val="clear" w:color="auto" w:fill="auto"/>
            <w:vAlign w:val="center"/>
            <w:hideMark/>
          </w:tcPr>
          <w:p w:rsidR="00F676D6" w:rsidRPr="00A90679" w:rsidRDefault="00F676D6" w:rsidP="00E71643">
            <w:pPr>
              <w:widowControl/>
              <w:spacing w:line="240" w:lineRule="exact"/>
              <w:jc w:val="center"/>
              <w:rPr>
                <w:rFonts w:asciiTheme="minorEastAsia" w:hAnsiTheme="minorEastAsia" w:cs="宋体"/>
                <w:b/>
                <w:bCs/>
                <w:kern w:val="0"/>
                <w:szCs w:val="21"/>
              </w:rPr>
            </w:pPr>
            <w:r w:rsidRPr="00A90679">
              <w:rPr>
                <w:rFonts w:asciiTheme="minorEastAsia" w:hAnsiTheme="minorEastAsia" w:cs="宋体" w:hint="eastAsia"/>
                <w:b/>
                <w:bCs/>
                <w:kern w:val="0"/>
                <w:szCs w:val="21"/>
              </w:rPr>
              <w:t>项目</w:t>
            </w:r>
          </w:p>
          <w:p w:rsidR="00F676D6" w:rsidRPr="00A90679" w:rsidRDefault="00F676D6" w:rsidP="00E71643">
            <w:pPr>
              <w:widowControl/>
              <w:spacing w:line="240" w:lineRule="exact"/>
              <w:jc w:val="center"/>
              <w:rPr>
                <w:rFonts w:asciiTheme="minorEastAsia" w:hAnsiTheme="minorEastAsia" w:cs="宋体"/>
                <w:b/>
                <w:bCs/>
                <w:kern w:val="0"/>
                <w:szCs w:val="21"/>
              </w:rPr>
            </w:pPr>
            <w:r w:rsidRPr="00A90679">
              <w:rPr>
                <w:rFonts w:asciiTheme="minorEastAsia" w:hAnsiTheme="minorEastAsia" w:cs="宋体" w:hint="eastAsia"/>
                <w:b/>
                <w:bCs/>
                <w:kern w:val="0"/>
                <w:szCs w:val="21"/>
              </w:rPr>
              <w:t>负责人</w:t>
            </w:r>
          </w:p>
        </w:tc>
        <w:tc>
          <w:tcPr>
            <w:tcW w:w="609" w:type="pct"/>
            <w:vAlign w:val="center"/>
          </w:tcPr>
          <w:p w:rsidR="00F676D6" w:rsidRPr="00A90679" w:rsidRDefault="00F676D6" w:rsidP="00E71643">
            <w:pPr>
              <w:widowControl/>
              <w:spacing w:line="240" w:lineRule="exact"/>
              <w:jc w:val="center"/>
              <w:rPr>
                <w:rFonts w:asciiTheme="minorEastAsia" w:hAnsiTheme="minorEastAsia" w:cs="宋体"/>
                <w:b/>
                <w:bCs/>
                <w:kern w:val="0"/>
                <w:szCs w:val="21"/>
              </w:rPr>
            </w:pPr>
            <w:r w:rsidRPr="00A90679">
              <w:rPr>
                <w:rFonts w:asciiTheme="minorEastAsia" w:hAnsiTheme="minorEastAsia" w:cs="宋体" w:hint="eastAsia"/>
                <w:b/>
                <w:bCs/>
                <w:kern w:val="0"/>
                <w:szCs w:val="21"/>
              </w:rPr>
              <w:t>学科方向</w:t>
            </w:r>
          </w:p>
        </w:tc>
        <w:tc>
          <w:tcPr>
            <w:tcW w:w="1910" w:type="pct"/>
            <w:shd w:val="clear" w:color="auto" w:fill="auto"/>
            <w:vAlign w:val="center"/>
            <w:hideMark/>
          </w:tcPr>
          <w:p w:rsidR="00F676D6" w:rsidRPr="00A90679" w:rsidRDefault="00F676D6" w:rsidP="00E71643">
            <w:pPr>
              <w:widowControl/>
              <w:spacing w:line="240" w:lineRule="exact"/>
              <w:jc w:val="center"/>
              <w:rPr>
                <w:rFonts w:asciiTheme="minorEastAsia" w:hAnsiTheme="minorEastAsia" w:cs="宋体"/>
                <w:b/>
                <w:bCs/>
                <w:kern w:val="0"/>
                <w:szCs w:val="21"/>
              </w:rPr>
            </w:pPr>
            <w:r w:rsidRPr="00A90679">
              <w:rPr>
                <w:rFonts w:asciiTheme="minorEastAsia" w:hAnsiTheme="minorEastAsia" w:cs="宋体" w:hint="eastAsia"/>
                <w:b/>
                <w:bCs/>
                <w:kern w:val="0"/>
                <w:szCs w:val="21"/>
              </w:rPr>
              <w:t>项目名称</w:t>
            </w:r>
          </w:p>
        </w:tc>
        <w:tc>
          <w:tcPr>
            <w:tcW w:w="400" w:type="pct"/>
            <w:vAlign w:val="center"/>
          </w:tcPr>
          <w:p w:rsidR="00F676D6" w:rsidRPr="00A90679" w:rsidRDefault="00F676D6" w:rsidP="00E71643">
            <w:pPr>
              <w:widowControl/>
              <w:spacing w:line="240" w:lineRule="exact"/>
              <w:jc w:val="center"/>
              <w:rPr>
                <w:rFonts w:asciiTheme="minorEastAsia" w:hAnsiTheme="minorEastAsia" w:cs="宋体"/>
                <w:b/>
                <w:bCs/>
                <w:kern w:val="0"/>
                <w:szCs w:val="21"/>
              </w:rPr>
            </w:pPr>
            <w:r w:rsidRPr="00A90679">
              <w:rPr>
                <w:rFonts w:asciiTheme="minorEastAsia" w:hAnsiTheme="minorEastAsia" w:cs="宋体" w:hint="eastAsia"/>
                <w:b/>
                <w:bCs/>
                <w:kern w:val="0"/>
                <w:szCs w:val="21"/>
              </w:rPr>
              <w:t>专家评分</w:t>
            </w:r>
          </w:p>
        </w:tc>
      </w:tr>
      <w:tr w:rsidR="00F676D6" w:rsidRPr="00A90679" w:rsidTr="00E71643">
        <w:trPr>
          <w:trHeight w:val="698"/>
        </w:trPr>
        <w:tc>
          <w:tcPr>
            <w:tcW w:w="232" w:type="pct"/>
            <w:shd w:val="clear" w:color="auto" w:fill="auto"/>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hint="eastAsia"/>
                <w:kern w:val="0"/>
                <w:szCs w:val="21"/>
              </w:rPr>
              <w:t>1</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规划项目</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管理学院</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郭英</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管理学</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“政用产学研”协同创新视角下成渝地区双城经济圈农村电商人力资源开发策略研究</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86.33</w:t>
            </w:r>
          </w:p>
        </w:tc>
      </w:tr>
      <w:tr w:rsidR="00F676D6" w:rsidRPr="00A90679" w:rsidTr="00E71643">
        <w:trPr>
          <w:trHeight w:val="684"/>
        </w:trPr>
        <w:tc>
          <w:tcPr>
            <w:tcW w:w="232" w:type="pct"/>
            <w:shd w:val="clear" w:color="auto" w:fill="auto"/>
            <w:noWrap/>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hint="eastAsia"/>
                <w:kern w:val="0"/>
                <w:szCs w:val="21"/>
              </w:rPr>
              <w:t>2</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规划项目</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管理学院</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周小波</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经济学</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网红经济助推渝东北乡村产业振兴的模式与路径研究</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85.33</w:t>
            </w:r>
          </w:p>
        </w:tc>
      </w:tr>
      <w:tr w:rsidR="00F676D6" w:rsidRPr="00A90679" w:rsidTr="00E71643">
        <w:trPr>
          <w:trHeight w:val="553"/>
        </w:trPr>
        <w:tc>
          <w:tcPr>
            <w:tcW w:w="232" w:type="pct"/>
            <w:shd w:val="clear" w:color="auto" w:fill="auto"/>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hint="eastAsia"/>
                <w:kern w:val="0"/>
                <w:szCs w:val="21"/>
              </w:rPr>
              <w:t>3</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规划项目</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数字艺术学院</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张小玲</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新闻学与传播学</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融媒体时代巴渝文化多维度融合传播发展研究</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85.00</w:t>
            </w:r>
          </w:p>
        </w:tc>
      </w:tr>
      <w:tr w:rsidR="00F676D6" w:rsidRPr="00A90679" w:rsidTr="00E71643">
        <w:trPr>
          <w:trHeight w:val="706"/>
        </w:trPr>
        <w:tc>
          <w:tcPr>
            <w:tcW w:w="232" w:type="pct"/>
            <w:shd w:val="clear" w:color="auto" w:fill="auto"/>
            <w:noWrap/>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hint="eastAsia"/>
                <w:kern w:val="0"/>
                <w:szCs w:val="21"/>
              </w:rPr>
              <w:t>4</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规划项目</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土木学院</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曾赟</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教育学</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“五育”融合进重庆高校工程管理类专业课程教学实践路径构建与效果影响机制研究</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84.67</w:t>
            </w:r>
          </w:p>
        </w:tc>
      </w:tr>
      <w:tr w:rsidR="00F676D6" w:rsidRPr="00A90679" w:rsidTr="00E71643">
        <w:trPr>
          <w:trHeight w:val="702"/>
        </w:trPr>
        <w:tc>
          <w:tcPr>
            <w:tcW w:w="232" w:type="pct"/>
            <w:shd w:val="clear" w:color="auto" w:fill="auto"/>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hint="eastAsia"/>
                <w:kern w:val="0"/>
                <w:szCs w:val="21"/>
              </w:rPr>
              <w:t>5</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规划项目</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管理学院</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王翅</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管理学</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政府、技术和产业融合：数字经济时代多元协同式美丽乡村建设模式研究——以涪陵区新妙镇十字村为例发展模式研究</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84.67</w:t>
            </w:r>
          </w:p>
        </w:tc>
      </w:tr>
      <w:tr w:rsidR="00F676D6" w:rsidRPr="00A90679" w:rsidTr="00E71643">
        <w:trPr>
          <w:trHeight w:val="512"/>
        </w:trPr>
        <w:tc>
          <w:tcPr>
            <w:tcW w:w="232" w:type="pct"/>
            <w:shd w:val="clear" w:color="auto" w:fill="auto"/>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kern w:val="0"/>
                <w:szCs w:val="21"/>
              </w:rPr>
              <w:t>6</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党建纪检专项</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土木学院</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焦敏</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社会学</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旧城改造项目中社会稳定风险识别及防范体系的研究</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82.33</w:t>
            </w:r>
          </w:p>
        </w:tc>
      </w:tr>
      <w:tr w:rsidR="00F676D6" w:rsidRPr="00A90679" w:rsidTr="00E71643">
        <w:trPr>
          <w:trHeight w:val="873"/>
        </w:trPr>
        <w:tc>
          <w:tcPr>
            <w:tcW w:w="232" w:type="pct"/>
            <w:shd w:val="clear" w:color="auto" w:fill="auto"/>
            <w:noWrap/>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kern w:val="0"/>
                <w:szCs w:val="21"/>
              </w:rPr>
              <w:t>7</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党建纪检专项</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管理学院</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邹均</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马克思主义/思想政治教育</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新时代大学生党员理想信念教新体系的构建与实践—以重庆工程学院为实验场</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80.00</w:t>
            </w:r>
          </w:p>
        </w:tc>
      </w:tr>
      <w:tr w:rsidR="00F676D6" w:rsidRPr="00A90679" w:rsidTr="00E71643">
        <w:trPr>
          <w:trHeight w:val="562"/>
        </w:trPr>
        <w:tc>
          <w:tcPr>
            <w:tcW w:w="232" w:type="pct"/>
            <w:shd w:val="clear" w:color="auto" w:fill="auto"/>
            <w:noWrap/>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hint="eastAsia"/>
                <w:kern w:val="0"/>
                <w:szCs w:val="21"/>
              </w:rPr>
              <w:t>8</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思政专项</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数字艺术学院</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桂风娇</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艺术学</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新媒体视域下川剧革命历史题材剧目的视觉呈现与传播策略研究</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81.00</w:t>
            </w:r>
          </w:p>
        </w:tc>
      </w:tr>
      <w:tr w:rsidR="00F676D6" w:rsidRPr="00A90679" w:rsidTr="00E71643">
        <w:trPr>
          <w:trHeight w:val="414"/>
        </w:trPr>
        <w:tc>
          <w:tcPr>
            <w:tcW w:w="232" w:type="pct"/>
            <w:shd w:val="clear" w:color="auto" w:fill="auto"/>
            <w:vAlign w:val="center"/>
            <w:hideMark/>
          </w:tcPr>
          <w:p w:rsidR="00F676D6" w:rsidRPr="00A90679" w:rsidRDefault="00F676D6" w:rsidP="00E71643">
            <w:pPr>
              <w:widowControl/>
              <w:spacing w:line="240" w:lineRule="exact"/>
              <w:jc w:val="center"/>
              <w:rPr>
                <w:rFonts w:asciiTheme="minorEastAsia" w:hAnsiTheme="minorEastAsia" w:cs="宋体"/>
                <w:kern w:val="0"/>
                <w:szCs w:val="21"/>
              </w:rPr>
            </w:pPr>
            <w:r w:rsidRPr="00A90679">
              <w:rPr>
                <w:rFonts w:asciiTheme="minorEastAsia" w:hAnsiTheme="minorEastAsia" w:cs="宋体" w:hint="eastAsia"/>
                <w:kern w:val="0"/>
                <w:szCs w:val="21"/>
              </w:rPr>
              <w:t>9</w:t>
            </w:r>
          </w:p>
        </w:tc>
        <w:tc>
          <w:tcPr>
            <w:tcW w:w="611"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思政专项</w:t>
            </w:r>
          </w:p>
        </w:tc>
        <w:tc>
          <w:tcPr>
            <w:tcW w:w="697"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思政部</w:t>
            </w:r>
          </w:p>
        </w:tc>
        <w:tc>
          <w:tcPr>
            <w:tcW w:w="542"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周勇</w:t>
            </w:r>
          </w:p>
        </w:tc>
        <w:tc>
          <w:tcPr>
            <w:tcW w:w="609"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马克思主义/思想政治教育</w:t>
            </w:r>
          </w:p>
        </w:tc>
        <w:tc>
          <w:tcPr>
            <w:tcW w:w="1910" w:type="pct"/>
            <w:shd w:val="clear" w:color="auto" w:fill="auto"/>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hint="eastAsia"/>
                <w:szCs w:val="21"/>
              </w:rPr>
              <w:t>智能著作权概念建构、保护困境与立法模式研究</w:t>
            </w:r>
          </w:p>
        </w:tc>
        <w:tc>
          <w:tcPr>
            <w:tcW w:w="400" w:type="pct"/>
            <w:vAlign w:val="center"/>
          </w:tcPr>
          <w:p w:rsidR="00F676D6" w:rsidRPr="00A90679" w:rsidRDefault="00F676D6" w:rsidP="00E71643">
            <w:pPr>
              <w:jc w:val="center"/>
              <w:rPr>
                <w:rFonts w:asciiTheme="minorEastAsia" w:hAnsiTheme="minorEastAsia"/>
                <w:szCs w:val="21"/>
              </w:rPr>
            </w:pPr>
            <w:r w:rsidRPr="00A90679">
              <w:rPr>
                <w:rFonts w:asciiTheme="minorEastAsia" w:hAnsiTheme="minorEastAsia"/>
                <w:szCs w:val="21"/>
              </w:rPr>
              <w:t>79.00</w:t>
            </w:r>
          </w:p>
        </w:tc>
      </w:tr>
    </w:tbl>
    <w:p w:rsidR="00F676D6" w:rsidRPr="00597A3B" w:rsidRDefault="00F676D6" w:rsidP="00F676D6"/>
    <w:p w:rsidR="00DA49F0" w:rsidRDefault="00DA49F0"/>
    <w:sectPr w:rsidR="00DA4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D6"/>
    <w:rsid w:val="00DA49F0"/>
    <w:rsid w:val="00F6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CMJ</dc:creator>
  <cp:lastModifiedBy>CMJ</cp:lastModifiedBy>
  <cp:revision>1</cp:revision>
  <dcterms:created xsi:type="dcterms:W3CDTF">2020-12-31T09:21:00Z</dcterms:created>
  <dcterms:modified xsi:type="dcterms:W3CDTF">2020-12-31T09:21:00Z</dcterms:modified>
</cp:coreProperties>
</file>